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5D084B" w:rsidRPr="008F1269" w:rsidRDefault="005D084B" w:rsidP="005D084B">
      <w:pPr>
        <w:pStyle w:val="Heading1"/>
        <w:adjustRightInd w:val="0"/>
        <w:snapToGrid w:val="0"/>
        <w:spacing w:before="60" w:after="0" w:line="312" w:lineRule="auto"/>
        <w:rPr>
          <w:lang w:val="vi-VN"/>
        </w:rPr>
      </w:pPr>
      <w:bookmarkStart w:id="0" w:name="_Toc85549794"/>
      <w:bookmarkStart w:id="1" w:name="_Toc87763358"/>
      <w:bookmarkStart w:id="2" w:name="_Toc93272205"/>
      <w:bookmarkStart w:id="3" w:name="_Toc140398919"/>
      <w:bookmarkStart w:id="4" w:name="_Toc141360714"/>
      <w:bookmarkStart w:id="5" w:name="_Toc142836864"/>
      <w:bookmarkStart w:id="6" w:name="_Toc142987641"/>
      <w:bookmarkStart w:id="7" w:name="_Toc143067327"/>
      <w:bookmarkStart w:id="8" w:name="_Toc153333281"/>
      <w:r w:rsidRPr="008F1269">
        <w:rPr>
          <w:shd w:val="clear" w:color="auto" w:fill="FFFFFF"/>
        </w:rPr>
        <w:t>30</w:t>
      </w:r>
      <w:r>
        <w:rPr>
          <w:shd w:val="clear" w:color="auto" w:fill="FFFFFF"/>
          <w:lang w:val="vi-VN"/>
        </w:rPr>
        <w:t>3</w:t>
      </w:r>
      <w:r w:rsidRPr="008F1269">
        <w:rPr>
          <w:shd w:val="clear" w:color="auto" w:fill="FFFFFF"/>
        </w:rPr>
        <w:t xml:space="preserve">. </w:t>
      </w:r>
      <w:r w:rsidRPr="008F1269">
        <w:rPr>
          <w:shd w:val="clear" w:color="auto" w:fill="FFFFFF"/>
          <w:lang w:val="vi-VN"/>
        </w:rPr>
        <w:t xml:space="preserve">Y HỌC TRUNG QUỐC </w:t>
      </w:r>
      <w:r>
        <w:rPr>
          <w:shd w:val="clear" w:color="auto" w:fill="FFFFFF"/>
        </w:rPr>
        <w:t xml:space="preserve">THỜI </w:t>
      </w:r>
      <w:r w:rsidRPr="008F1269">
        <w:rPr>
          <w:shd w:val="clear" w:color="auto" w:fill="FFFFFF"/>
          <w:lang w:val="vi-VN"/>
        </w:rPr>
        <w:t xml:space="preserve">CỔ </w:t>
      </w:r>
      <w:r>
        <w:rPr>
          <w:shd w:val="clear" w:color="auto" w:fill="FFFFFF"/>
        </w:rPr>
        <w:t xml:space="preserve">TRUNG </w:t>
      </w:r>
      <w:r w:rsidRPr="008F1269">
        <w:rPr>
          <w:shd w:val="clear" w:color="auto" w:fill="FFFFFF"/>
          <w:lang w:val="vi-VN"/>
        </w:rPr>
        <w:t>ĐẠI</w:t>
      </w:r>
      <w:bookmarkEnd w:id="0"/>
      <w:bookmarkEnd w:id="1"/>
      <w:bookmarkEnd w:id="2"/>
      <w:bookmarkEnd w:id="3"/>
      <w:bookmarkEnd w:id="4"/>
      <w:bookmarkEnd w:id="5"/>
      <w:bookmarkEnd w:id="6"/>
      <w:bookmarkEnd w:id="7"/>
      <w:bookmarkEnd w:id="8"/>
    </w:p>
    <w:p w:rsidR="005D084B" w:rsidRPr="008F1269" w:rsidRDefault="005D084B" w:rsidP="005D084B">
      <w:pPr>
        <w:pStyle w:val="NormalWeb"/>
        <w:shd w:val="clear" w:color="auto" w:fill="FFFFFF"/>
        <w:adjustRightInd w:val="0"/>
        <w:snapToGrid w:val="0"/>
        <w:spacing w:before="60" w:beforeAutospacing="0" w:after="0" w:afterAutospacing="0" w:line="312" w:lineRule="auto"/>
        <w:ind w:firstLine="567"/>
        <w:jc w:val="both"/>
        <w:rPr>
          <w:sz w:val="28"/>
          <w:szCs w:val="28"/>
          <w:shd w:val="clear" w:color="auto" w:fill="FFFFFF"/>
        </w:rPr>
      </w:pPr>
      <w:r w:rsidRPr="008F1269">
        <w:rPr>
          <w:sz w:val="28"/>
          <w:szCs w:val="28"/>
          <w:shd w:val="clear" w:color="auto" w:fill="FFFFFF"/>
        </w:rPr>
        <w:t>một trong những lĩnh vực có lịch sử lâu đời, đạt nhiều thành tựu quan trọng và có ảnh hưởng trên thế giới của Trung Quốc thời cổ đại.</w:t>
      </w:r>
    </w:p>
    <w:p w:rsidR="005D084B" w:rsidRPr="008F1269" w:rsidRDefault="005D084B" w:rsidP="005D084B">
      <w:pPr>
        <w:pStyle w:val="NormalWeb"/>
        <w:shd w:val="clear" w:color="auto" w:fill="FFFFFF"/>
        <w:adjustRightInd w:val="0"/>
        <w:snapToGrid w:val="0"/>
        <w:spacing w:before="60" w:beforeAutospacing="0" w:after="0" w:afterAutospacing="0" w:line="312" w:lineRule="auto"/>
        <w:ind w:firstLine="567"/>
        <w:jc w:val="both"/>
        <w:rPr>
          <w:sz w:val="28"/>
          <w:szCs w:val="28"/>
          <w:shd w:val="clear" w:color="auto" w:fill="FFFFFF"/>
        </w:rPr>
      </w:pPr>
      <w:r>
        <w:rPr>
          <w:sz w:val="28"/>
          <w:szCs w:val="28"/>
          <w:shd w:val="clear" w:color="auto" w:fill="FFFFFF"/>
        </w:rPr>
        <w:t xml:space="preserve">Y học Trung Quốc cổ đại (vt. </w:t>
      </w:r>
      <w:r w:rsidRPr="008F1269">
        <w:rPr>
          <w:sz w:val="28"/>
          <w:szCs w:val="28"/>
          <w:shd w:val="clear" w:color="auto" w:fill="FFFFFF"/>
        </w:rPr>
        <w:t>YHTQCĐ</w:t>
      </w:r>
      <w:r>
        <w:rPr>
          <w:sz w:val="28"/>
          <w:szCs w:val="28"/>
          <w:shd w:val="clear" w:color="auto" w:fill="FFFFFF"/>
        </w:rPr>
        <w:t>)</w:t>
      </w:r>
      <w:r w:rsidRPr="008F1269">
        <w:rPr>
          <w:sz w:val="28"/>
          <w:szCs w:val="28"/>
          <w:shd w:val="clear" w:color="auto" w:fill="FFFFFF"/>
        </w:rPr>
        <w:t xml:space="preserve"> bắt nguồn từ lưu vực </w:t>
      </w:r>
      <w:r>
        <w:rPr>
          <w:sz w:val="28"/>
          <w:szCs w:val="28"/>
          <w:shd w:val="clear" w:color="auto" w:fill="FFFFFF"/>
        </w:rPr>
        <w:t>Sông</w:t>
      </w:r>
      <w:r w:rsidRPr="008F1269">
        <w:rPr>
          <w:sz w:val="28"/>
          <w:szCs w:val="28"/>
          <w:shd w:val="clear" w:color="auto" w:fill="FFFFFF"/>
        </w:rPr>
        <w:t xml:space="preserve"> Hoàng Hà, gắn với tên tuổi của nhiều vị thầy thuốc nổi tiếng và các tác phẩm khảo cứu về y học, dược liệu qua các thời kỳ. </w:t>
      </w:r>
    </w:p>
    <w:p w:rsidR="005D084B" w:rsidRPr="008F1269" w:rsidRDefault="005D084B" w:rsidP="005D084B">
      <w:pPr>
        <w:pStyle w:val="NormalWeb"/>
        <w:shd w:val="clear" w:color="auto" w:fill="FFFFFF"/>
        <w:adjustRightInd w:val="0"/>
        <w:snapToGrid w:val="0"/>
        <w:spacing w:before="60" w:beforeAutospacing="0" w:after="0" w:afterAutospacing="0" w:line="312" w:lineRule="auto"/>
        <w:ind w:firstLine="567"/>
        <w:jc w:val="both"/>
        <w:rPr>
          <w:sz w:val="28"/>
          <w:szCs w:val="28"/>
          <w:shd w:val="clear" w:color="auto" w:fill="FFFFFF"/>
        </w:rPr>
      </w:pPr>
      <w:r w:rsidRPr="008F1269">
        <w:rPr>
          <w:sz w:val="28"/>
          <w:szCs w:val="28"/>
          <w:shd w:val="clear" w:color="auto" w:fill="FFFFFF"/>
        </w:rPr>
        <w:t>Từ thời Ân Thương cách ngày nay khoảng 3</w:t>
      </w:r>
      <w:r w:rsidRPr="002778F9">
        <w:rPr>
          <w:sz w:val="28"/>
          <w:szCs w:val="28"/>
          <w:shd w:val="clear" w:color="auto" w:fill="FFFFFF"/>
        </w:rPr>
        <w:t>.</w:t>
      </w:r>
      <w:r w:rsidRPr="008F1269">
        <w:rPr>
          <w:sz w:val="28"/>
          <w:szCs w:val="28"/>
          <w:shd w:val="clear" w:color="auto" w:fill="FFFFFF"/>
        </w:rPr>
        <w:t>000 năm, người ta đã tìm thấy ghi chép về hơn mười loại bệnh tật khác nhau trên chữ giáp cốt. Dưới thời nhà Chu, các biện pháp khám bệnh như xem/bắt mạch cùng với các biện pháp chữa bệnh bằng thuốc, châm cứu, phẫu thuật đã được áp dụng.</w:t>
      </w:r>
    </w:p>
    <w:p w:rsidR="005D084B" w:rsidRPr="008F1269" w:rsidRDefault="005D084B" w:rsidP="005D084B">
      <w:pPr>
        <w:pStyle w:val="NormalWeb"/>
        <w:shd w:val="clear" w:color="auto" w:fill="FFFFFF"/>
        <w:adjustRightInd w:val="0"/>
        <w:snapToGrid w:val="0"/>
        <w:spacing w:before="60" w:beforeAutospacing="0" w:after="0" w:afterAutospacing="0" w:line="312" w:lineRule="auto"/>
        <w:ind w:firstLine="567"/>
        <w:jc w:val="both"/>
        <w:rPr>
          <w:sz w:val="28"/>
          <w:szCs w:val="28"/>
          <w:shd w:val="clear" w:color="auto" w:fill="FFFFFF"/>
        </w:rPr>
      </w:pPr>
      <w:r w:rsidRPr="008F1269">
        <w:rPr>
          <w:sz w:val="28"/>
          <w:szCs w:val="28"/>
          <w:shd w:val="clear" w:color="auto" w:fill="FFFFFF"/>
        </w:rPr>
        <w:t xml:space="preserve">Trong các thời kỳ từ Chiến quốc đến Tần, Hán, YHTQCĐ đạt nhiều thành tựu với sự xuất hiện của một số danh y và tác phẩm liên quan đến y học. Dưới thời Chiến quốc, danh y Biển Thước (401 </w:t>
      </w:r>
      <w:r>
        <w:rPr>
          <w:sz w:val="28"/>
          <w:szCs w:val="28"/>
          <w:shd w:val="clear" w:color="auto" w:fill="FFFFFF"/>
        </w:rPr>
        <w:t>–</w:t>
      </w:r>
      <w:r w:rsidRPr="008F1269">
        <w:rPr>
          <w:sz w:val="28"/>
          <w:szCs w:val="28"/>
          <w:shd w:val="clear" w:color="auto" w:fill="FFFFFF"/>
        </w:rPr>
        <w:t xml:space="preserve"> 310 TCN) đã biết vận dụng thành thạo 4 kỹ thuật y khoa để bắt bệnh, bao gồm: nhìn, nghe, hỏi và bắt mạch. Ngoài ra, ông cũng rất giỏi dùng các thuật loại trị liệu khác như châm cứu, phẫu thuật, kê thuốc, xoa bóp. Đến thời Tam quốc, Hoa Đà </w:t>
      </w:r>
      <w:r w:rsidRPr="008F1269">
        <w:rPr>
          <w:rFonts w:eastAsia="SimSun"/>
          <w:sz w:val="28"/>
          <w:szCs w:val="28"/>
          <w:shd w:val="clear" w:color="auto" w:fill="FFFFFF"/>
        </w:rPr>
        <w:t>(145 – 208)</w:t>
      </w:r>
      <w:r w:rsidRPr="008F1269">
        <w:rPr>
          <w:sz w:val="28"/>
          <w:szCs w:val="28"/>
          <w:shd w:val="clear" w:color="auto" w:fill="FFFFFF"/>
        </w:rPr>
        <w:t xml:space="preserve"> được coi là thần y khi biết dùng thuốc gây mê toàn thân mang tên “Ma phi tán” để phẫu thuật ngoại khoa. Ông được xưng tụng là ông tổ của khoa phẫu thuật sau này.</w:t>
      </w:r>
    </w:p>
    <w:p w:rsidR="005D084B" w:rsidRPr="008F1269" w:rsidRDefault="005D084B" w:rsidP="005D084B">
      <w:pPr>
        <w:pStyle w:val="NormalWeb"/>
        <w:shd w:val="clear" w:color="auto" w:fill="FFFFFF"/>
        <w:adjustRightInd w:val="0"/>
        <w:snapToGrid w:val="0"/>
        <w:spacing w:before="60" w:beforeAutospacing="0" w:after="0" w:afterAutospacing="0" w:line="312" w:lineRule="auto"/>
        <w:ind w:firstLine="567"/>
        <w:jc w:val="both"/>
        <w:rPr>
          <w:sz w:val="28"/>
          <w:szCs w:val="28"/>
          <w:shd w:val="clear" w:color="auto" w:fill="FFFFFF"/>
        </w:rPr>
      </w:pPr>
      <w:r w:rsidRPr="008F1269">
        <w:rPr>
          <w:sz w:val="28"/>
          <w:szCs w:val="28"/>
          <w:shd w:val="clear" w:color="auto" w:fill="FFFFFF"/>
        </w:rPr>
        <w:t xml:space="preserve">Dưới thời Hán, </w:t>
      </w:r>
      <w:r w:rsidRPr="008F1269">
        <w:rPr>
          <w:sz w:val="28"/>
          <w:szCs w:val="28"/>
          <w:shd w:val="clear" w:color="auto" w:fill="FFFFFF"/>
          <w:lang w:eastAsia="zh-CN"/>
        </w:rPr>
        <w:t>những giá trị tinh hoa về y học của Trung Quốc từ thời Tây Chu đến thời Tần, Hán đã được đúc kết và biên thành sách</w:t>
      </w:r>
      <w:r w:rsidRPr="008F1269">
        <w:rPr>
          <w:sz w:val="28"/>
          <w:szCs w:val="28"/>
          <w:shd w:val="clear" w:color="auto" w:fill="FFFFFF"/>
        </w:rPr>
        <w:t xml:space="preserve"> “Hoàng đế nội kinh”</w:t>
      </w:r>
      <w:r w:rsidRPr="008F1269">
        <w:rPr>
          <w:sz w:val="28"/>
          <w:szCs w:val="28"/>
          <w:shd w:val="clear" w:color="auto" w:fill="FFFFFF"/>
          <w:lang w:eastAsia="zh-CN"/>
        </w:rPr>
        <w:t xml:space="preserve"> (còn có tên đầy đủ là </w:t>
      </w:r>
      <w:r w:rsidRPr="008F1269">
        <w:rPr>
          <w:sz w:val="28"/>
          <w:szCs w:val="28"/>
          <w:shd w:val="clear" w:color="auto" w:fill="FFFFFF"/>
        </w:rPr>
        <w:t>Hoàng đế nội kinh</w:t>
      </w:r>
      <w:r w:rsidRPr="008F1269">
        <w:rPr>
          <w:sz w:val="28"/>
          <w:szCs w:val="28"/>
          <w:shd w:val="clear" w:color="auto" w:fill="FFFFFF"/>
          <w:lang w:eastAsia="zh-CN"/>
        </w:rPr>
        <w:t xml:space="preserve"> tố vấn)</w:t>
      </w:r>
      <w:r w:rsidRPr="008F1269">
        <w:rPr>
          <w:sz w:val="28"/>
          <w:szCs w:val="28"/>
          <w:shd w:val="clear" w:color="auto" w:fill="FFFFFF"/>
        </w:rPr>
        <w:t>.</w:t>
      </w:r>
      <w:r w:rsidRPr="008F1269">
        <w:rPr>
          <w:sz w:val="28"/>
          <w:szCs w:val="28"/>
          <w:shd w:val="clear" w:color="auto" w:fill="FFFFFF"/>
          <w:lang w:eastAsia="zh-CN"/>
        </w:rPr>
        <w:t xml:space="preserve"> </w:t>
      </w:r>
      <w:r w:rsidRPr="008F1269">
        <w:rPr>
          <w:sz w:val="28"/>
          <w:szCs w:val="28"/>
          <w:shd w:val="clear" w:color="auto" w:fill="FFFFFF"/>
        </w:rPr>
        <w:t xml:space="preserve">Bộ sách này chủ yếu bàn về các học thuyết, nguyên tắc trị liệu gắn với sinh lý học con người. Sách </w:t>
      </w:r>
      <w:r w:rsidRPr="008F1269">
        <w:rPr>
          <w:sz w:val="28"/>
          <w:szCs w:val="28"/>
          <w:shd w:val="clear" w:color="auto" w:fill="FFFFFF"/>
          <w:lang w:eastAsia="zh-CN"/>
        </w:rPr>
        <w:t>được coi là tác phẩm kinh điển mở đầu cho những trước tác biên soạn về y học cổ truyền Trung Quốc</w:t>
      </w:r>
      <w:r w:rsidRPr="008F1269">
        <w:rPr>
          <w:sz w:val="28"/>
          <w:szCs w:val="28"/>
          <w:shd w:val="clear" w:color="auto" w:fill="FFFFFF"/>
        </w:rPr>
        <w:t>. Bên cạnh đó, còn có sách “</w:t>
      </w:r>
      <w:r w:rsidRPr="008F1269">
        <w:rPr>
          <w:sz w:val="28"/>
          <w:szCs w:val="28"/>
          <w:lang w:eastAsia="zh-CN"/>
        </w:rPr>
        <w:t>Thương hàn tạp bệnh luận</w:t>
      </w:r>
      <w:r w:rsidRPr="008F1269">
        <w:rPr>
          <w:sz w:val="28"/>
          <w:szCs w:val="28"/>
          <w:shd w:val="clear" w:color="auto" w:fill="FFFFFF"/>
        </w:rPr>
        <w:t>”</w:t>
      </w:r>
      <w:r w:rsidRPr="008F1269">
        <w:rPr>
          <w:sz w:val="28"/>
          <w:szCs w:val="28"/>
          <w:shd w:val="clear" w:color="auto" w:fill="FFFFFF"/>
          <w:lang w:eastAsia="zh-CN"/>
        </w:rPr>
        <w:t xml:space="preserve"> của “thánh y”</w:t>
      </w:r>
      <w:r w:rsidRPr="008F1269">
        <w:rPr>
          <w:sz w:val="28"/>
          <w:szCs w:val="28"/>
          <w:shd w:val="clear" w:color="auto" w:fill="FFFFFF"/>
        </w:rPr>
        <w:t xml:space="preserve"> của Trương Trọng Cảnh</w:t>
      </w:r>
      <w:r w:rsidRPr="008F1269">
        <w:rPr>
          <w:sz w:val="28"/>
          <w:szCs w:val="28"/>
          <w:shd w:val="clear" w:color="auto" w:fill="FFFFFF"/>
          <w:lang w:eastAsia="zh-CN"/>
        </w:rPr>
        <w:t>. Cuốn sách này đ</w:t>
      </w:r>
      <w:r w:rsidRPr="008F1269">
        <w:rPr>
          <w:sz w:val="28"/>
          <w:szCs w:val="28"/>
          <w:lang w:eastAsia="zh-CN"/>
        </w:rPr>
        <w:t>ược các nhà y học đời sau vinh danh là “vạn thế bảo điển” vì đã phân tích rất rõ nguyên nhân, triệu chứng, giai đoạn phát triển và phương pháp xử lý bệnh thương hàn</w:t>
      </w:r>
      <w:r w:rsidRPr="008F1269">
        <w:rPr>
          <w:sz w:val="28"/>
          <w:szCs w:val="28"/>
          <w:shd w:val="clear" w:color="auto" w:fill="FFFFFF"/>
        </w:rPr>
        <w:t xml:space="preserve">, đặt cơ sở phát triển cho y học lâm sàng của thế hệ sau. </w:t>
      </w:r>
    </w:p>
    <w:p w:rsidR="005D084B" w:rsidRPr="008F1269" w:rsidRDefault="005D084B" w:rsidP="005D084B">
      <w:pPr>
        <w:pStyle w:val="NormalWeb"/>
        <w:shd w:val="clear" w:color="auto" w:fill="FFFFFF"/>
        <w:adjustRightInd w:val="0"/>
        <w:snapToGrid w:val="0"/>
        <w:spacing w:before="60" w:beforeAutospacing="0" w:after="0" w:afterAutospacing="0" w:line="312" w:lineRule="auto"/>
        <w:ind w:firstLine="567"/>
        <w:jc w:val="both"/>
        <w:rPr>
          <w:sz w:val="28"/>
          <w:szCs w:val="28"/>
          <w:shd w:val="clear" w:color="auto" w:fill="FFFFFF"/>
        </w:rPr>
      </w:pPr>
      <w:r w:rsidRPr="008F1269">
        <w:rPr>
          <w:sz w:val="28"/>
          <w:szCs w:val="28"/>
          <w:shd w:val="clear" w:color="auto" w:fill="FFFFFF"/>
        </w:rPr>
        <w:t xml:space="preserve">Từ thời Ngụy </w:t>
      </w:r>
      <w:r>
        <w:rPr>
          <w:sz w:val="28"/>
          <w:szCs w:val="28"/>
          <w:shd w:val="clear" w:color="auto" w:fill="FFFFFF"/>
        </w:rPr>
        <w:t>–</w:t>
      </w:r>
      <w:r w:rsidRPr="008F1269">
        <w:rPr>
          <w:sz w:val="28"/>
          <w:szCs w:val="28"/>
          <w:shd w:val="clear" w:color="auto" w:fill="FFFFFF"/>
        </w:rPr>
        <w:t xml:space="preserve"> Tấn</w:t>
      </w:r>
      <w:r w:rsidRPr="008F1269">
        <w:rPr>
          <w:sz w:val="28"/>
          <w:szCs w:val="28"/>
          <w:shd w:val="clear" w:color="auto" w:fill="FFFFFF"/>
          <w:lang w:eastAsia="zh-CN"/>
        </w:rPr>
        <w:t xml:space="preserve"> đến Tùy, Đường</w:t>
      </w:r>
      <w:r w:rsidRPr="008F1269">
        <w:rPr>
          <w:sz w:val="28"/>
          <w:szCs w:val="28"/>
          <w:shd w:val="clear" w:color="auto" w:fill="FFFFFF"/>
        </w:rPr>
        <w:t>, y học Trung Quốc với các biện pháp chẩn đoán qua mạch đã đạt nhiều thành tựu nổi bật.</w:t>
      </w:r>
      <w:r w:rsidRPr="008F1269">
        <w:rPr>
          <w:rFonts w:hint="eastAsia"/>
          <w:sz w:val="28"/>
          <w:szCs w:val="28"/>
          <w:shd w:val="clear" w:color="auto" w:fill="FFFFFF"/>
          <w:lang w:eastAsia="zh-CN"/>
        </w:rPr>
        <w:t xml:space="preserve"> </w:t>
      </w:r>
      <w:r w:rsidRPr="008F1269">
        <w:rPr>
          <w:sz w:val="28"/>
          <w:szCs w:val="28"/>
          <w:shd w:val="clear" w:color="auto" w:fill="FFFFFF"/>
        </w:rPr>
        <w:t xml:space="preserve">Sách “Mạch Kinh” của Vương Thúc Hòa đời Tấn đã tổng kết được 24 loại mạch khác nhau. Cùng với đó, nhiều </w:t>
      </w:r>
      <w:r w:rsidRPr="008F1269">
        <w:rPr>
          <w:sz w:val="28"/>
          <w:szCs w:val="28"/>
          <w:shd w:val="clear" w:color="auto" w:fill="FFFFFF"/>
        </w:rPr>
        <w:lastRenderedPageBreak/>
        <w:t>tác phẩm có tính chuyên môn hóa trong y học đã được biên soạn: chuyên về châm cứu có “Châm cứu giáp ất kinh”; bàn về ngoại khoa có “Lưu quyên tử quỷ di phương”; luận về nguyên nhân gây bệnh có “Chư bệnh nguyên hậu luận”; chuyên sâu về nhi khoa có “Lư tín kinh”; chuyên sâu về khoa mắt có “Ngân hải tinh vi”</w:t>
      </w:r>
      <w:r w:rsidRPr="002778F9">
        <w:rPr>
          <w:sz w:val="28"/>
          <w:szCs w:val="28"/>
          <w:shd w:val="clear" w:color="auto" w:fill="FFFFFF"/>
        </w:rPr>
        <w:t xml:space="preserve">, </w:t>
      </w:r>
      <w:r w:rsidRPr="008F1269">
        <w:rPr>
          <w:sz w:val="28"/>
          <w:szCs w:val="28"/>
          <w:shd w:val="clear" w:color="auto" w:fill="FFFFFF"/>
        </w:rPr>
        <w:t>...</w:t>
      </w:r>
    </w:p>
    <w:p w:rsidR="005D084B" w:rsidRPr="008F1269" w:rsidRDefault="005D084B" w:rsidP="005D084B">
      <w:pPr>
        <w:pStyle w:val="NormalWeb"/>
        <w:shd w:val="clear" w:color="auto" w:fill="FFFFFF"/>
        <w:adjustRightInd w:val="0"/>
        <w:snapToGrid w:val="0"/>
        <w:spacing w:before="60" w:beforeAutospacing="0" w:after="0" w:afterAutospacing="0" w:line="312" w:lineRule="auto"/>
        <w:ind w:firstLine="567"/>
        <w:jc w:val="both"/>
        <w:rPr>
          <w:sz w:val="28"/>
          <w:szCs w:val="28"/>
          <w:shd w:val="clear" w:color="auto" w:fill="FFFFFF"/>
        </w:rPr>
      </w:pPr>
      <w:r w:rsidRPr="008F1269">
        <w:rPr>
          <w:sz w:val="28"/>
          <w:szCs w:val="28"/>
          <w:shd w:val="clear" w:color="auto" w:fill="FFFFFF"/>
          <w:lang w:eastAsia="zh-CN"/>
        </w:rPr>
        <w:t>Dưới thời</w:t>
      </w:r>
      <w:r w:rsidRPr="008F1269">
        <w:rPr>
          <w:sz w:val="28"/>
          <w:szCs w:val="28"/>
          <w:shd w:val="clear" w:color="auto" w:fill="FFFFFF"/>
        </w:rPr>
        <w:t xml:space="preserve"> Đường,</w:t>
      </w:r>
      <w:r w:rsidRPr="008F1269">
        <w:rPr>
          <w:sz w:val="28"/>
          <w:szCs w:val="28"/>
          <w:shd w:val="clear" w:color="auto" w:fill="FFFFFF"/>
          <w:lang w:eastAsia="zh-CN"/>
        </w:rPr>
        <w:t xml:space="preserve"> thầy thuốc</w:t>
      </w:r>
      <w:r w:rsidRPr="008F1269">
        <w:rPr>
          <w:sz w:val="28"/>
          <w:szCs w:val="28"/>
          <w:shd w:val="clear" w:color="auto" w:fill="FFFFFF"/>
        </w:rPr>
        <w:t xml:space="preserve"> Tôn Tư Mạc </w:t>
      </w:r>
      <w:r w:rsidRPr="008F1269">
        <w:rPr>
          <w:sz w:val="28"/>
          <w:szCs w:val="28"/>
          <w:shd w:val="clear" w:color="auto" w:fill="FFFFFF"/>
          <w:lang w:eastAsia="zh-CN"/>
        </w:rPr>
        <w:t>đã biết</w:t>
      </w:r>
      <w:r w:rsidRPr="008F1269">
        <w:rPr>
          <w:sz w:val="28"/>
          <w:szCs w:val="28"/>
          <w:shd w:val="clear" w:color="auto" w:fill="FFFFFF"/>
        </w:rPr>
        <w:t xml:space="preserve"> ứng dụng khí công vào thuật dưỡng sinh</w:t>
      </w:r>
      <w:r w:rsidRPr="008F1269">
        <w:rPr>
          <w:sz w:val="28"/>
          <w:szCs w:val="28"/>
          <w:shd w:val="clear" w:color="auto" w:fill="FFFFFF"/>
          <w:lang w:eastAsia="zh-CN"/>
        </w:rPr>
        <w:t xml:space="preserve">. Ông viết hai tác phẩm </w:t>
      </w:r>
      <w:r w:rsidRPr="008F1269">
        <w:rPr>
          <w:sz w:val="28"/>
          <w:szCs w:val="28"/>
          <w:shd w:val="clear" w:color="auto" w:fill="FFFFFF"/>
        </w:rPr>
        <w:t>“Thiên kim yếu phương” và “Thiên kim dược phương”, trong đó</w:t>
      </w:r>
      <w:r w:rsidRPr="008F1269">
        <w:rPr>
          <w:sz w:val="28"/>
          <w:szCs w:val="28"/>
          <w:shd w:val="clear" w:color="auto" w:fill="FFFFFF"/>
          <w:lang w:eastAsia="zh-CN"/>
        </w:rPr>
        <w:t xml:space="preserve"> đã</w:t>
      </w:r>
      <w:r w:rsidRPr="008F1269">
        <w:rPr>
          <w:sz w:val="28"/>
          <w:szCs w:val="28"/>
          <w:shd w:val="clear" w:color="auto" w:fill="FFFFFF"/>
        </w:rPr>
        <w:t xml:space="preserve"> tập hợp và phân loại toàn diện các bài thuốc Trung y từ các thời kỳ trước.</w:t>
      </w:r>
    </w:p>
    <w:p w:rsidR="005D084B" w:rsidRPr="008F1269" w:rsidRDefault="005D084B" w:rsidP="005D084B">
      <w:pPr>
        <w:pStyle w:val="NormalWeb"/>
        <w:shd w:val="clear" w:color="auto" w:fill="FFFFFF"/>
        <w:adjustRightInd w:val="0"/>
        <w:snapToGrid w:val="0"/>
        <w:spacing w:before="60" w:beforeAutospacing="0" w:after="0" w:afterAutospacing="0" w:line="312" w:lineRule="auto"/>
        <w:ind w:firstLine="567"/>
        <w:jc w:val="both"/>
        <w:rPr>
          <w:sz w:val="28"/>
          <w:szCs w:val="28"/>
          <w:shd w:val="clear" w:color="auto" w:fill="FFFFFF"/>
        </w:rPr>
      </w:pPr>
      <w:r w:rsidRPr="008F1269">
        <w:rPr>
          <w:sz w:val="28"/>
          <w:szCs w:val="28"/>
          <w:shd w:val="clear" w:color="auto" w:fill="FFFFFF"/>
        </w:rPr>
        <w:t>Đến thời Tống, kỹ thuật châm cứu có bước cải tiến to lớn. Vương Duy Nhất</w:t>
      </w:r>
      <w:r w:rsidRPr="008F1269">
        <w:rPr>
          <w:rFonts w:hint="eastAsia"/>
          <w:sz w:val="28"/>
          <w:szCs w:val="28"/>
          <w:shd w:val="clear" w:color="auto" w:fill="FFFFFF"/>
          <w:lang w:eastAsia="zh-CN"/>
        </w:rPr>
        <w:t xml:space="preserve"> </w:t>
      </w:r>
      <w:r w:rsidRPr="008F1269">
        <w:rPr>
          <w:sz w:val="28"/>
          <w:szCs w:val="28"/>
          <w:shd w:val="clear" w:color="auto" w:fill="FFFFFF"/>
        </w:rPr>
        <w:t>đã viết cuốn “Kinh huyệt châm cứu tượng người đồng” và chế tạo hai tượng người đồng bằng nhau để dạy thao tác</w:t>
      </w:r>
      <w:r w:rsidRPr="008F1269">
        <w:rPr>
          <w:rFonts w:hint="eastAsia"/>
          <w:sz w:val="28"/>
          <w:szCs w:val="28"/>
          <w:shd w:val="clear" w:color="auto" w:fill="FFFFFF"/>
          <w:lang w:eastAsia="zh-CN"/>
        </w:rPr>
        <w:t xml:space="preserve"> </w:t>
      </w:r>
      <w:r w:rsidRPr="008F1269">
        <w:rPr>
          <w:sz w:val="28"/>
          <w:szCs w:val="28"/>
          <w:shd w:val="clear" w:color="auto" w:fill="FFFFFF"/>
        </w:rPr>
        <w:t>châm cứu. Cách</w:t>
      </w:r>
      <w:r w:rsidRPr="008F1269">
        <w:rPr>
          <w:rFonts w:hint="eastAsia"/>
          <w:sz w:val="28"/>
          <w:szCs w:val="28"/>
          <w:shd w:val="clear" w:color="auto" w:fill="FFFFFF"/>
          <w:lang w:eastAsia="zh-CN"/>
        </w:rPr>
        <w:t xml:space="preserve"> </w:t>
      </w:r>
      <w:r w:rsidRPr="008F1269">
        <w:rPr>
          <w:sz w:val="28"/>
          <w:szCs w:val="28"/>
          <w:shd w:val="clear" w:color="auto" w:fill="FFFFFF"/>
        </w:rPr>
        <w:t>là</w:t>
      </w:r>
      <w:r w:rsidRPr="008F1269">
        <w:rPr>
          <w:rFonts w:hint="eastAsia"/>
          <w:sz w:val="28"/>
          <w:szCs w:val="28"/>
          <w:shd w:val="clear" w:color="auto" w:fill="FFFFFF"/>
          <w:lang w:eastAsia="zh-CN"/>
        </w:rPr>
        <w:t>m</w:t>
      </w:r>
      <w:r w:rsidRPr="008F1269">
        <w:rPr>
          <w:sz w:val="28"/>
          <w:szCs w:val="28"/>
          <w:shd w:val="clear" w:color="auto" w:fill="FFFFFF"/>
        </w:rPr>
        <w:t xml:space="preserve"> này đã có ảnh hưởng lớn tới cách truyền dạy về kỹ thuật châm cứu các đời sau.</w:t>
      </w:r>
    </w:p>
    <w:p w:rsidR="005D084B" w:rsidRPr="008F1269" w:rsidRDefault="005D084B" w:rsidP="005D084B">
      <w:pPr>
        <w:pStyle w:val="NormalWeb"/>
        <w:shd w:val="clear" w:color="auto" w:fill="FFFFFF"/>
        <w:adjustRightInd w:val="0"/>
        <w:snapToGrid w:val="0"/>
        <w:spacing w:before="60" w:beforeAutospacing="0" w:after="0" w:afterAutospacing="0" w:line="312" w:lineRule="auto"/>
        <w:ind w:firstLine="567"/>
        <w:jc w:val="both"/>
        <w:rPr>
          <w:sz w:val="28"/>
          <w:szCs w:val="28"/>
          <w:shd w:val="clear" w:color="auto" w:fill="FFFFFF"/>
        </w:rPr>
      </w:pPr>
      <w:r w:rsidRPr="008F1269">
        <w:rPr>
          <w:sz w:val="28"/>
          <w:szCs w:val="28"/>
          <w:shd w:val="clear" w:color="auto" w:fill="FFFFFF"/>
        </w:rPr>
        <w:t>Dưới thời Minh, Thanh, YHTQCĐ đã có sự phát triển rực rỡ. Dưới thời Minh, các thầy thuốc đã phân loại được các bệnh thương hàn, ôn bệnh và ôn dịch. Nhiều tác phẩm liên quan tới việc điều trị bệnh đậu mùa đã được biên soạn. Đến thời Thanh, vấn đề ôn bệnh đã được nghiên cứu kỹ lưỡng với tác phẩm “Ôn nhiệt luận”.</w:t>
      </w:r>
    </w:p>
    <w:p w:rsidR="005D084B" w:rsidRPr="008F1269" w:rsidRDefault="005D084B" w:rsidP="005D084B">
      <w:pPr>
        <w:pStyle w:val="NormalWeb"/>
        <w:shd w:val="clear" w:color="auto" w:fill="FFFFFF"/>
        <w:adjustRightInd w:val="0"/>
        <w:snapToGrid w:val="0"/>
        <w:spacing w:before="60" w:beforeAutospacing="0" w:after="0" w:afterAutospacing="0" w:line="312" w:lineRule="auto"/>
        <w:ind w:firstLine="567"/>
        <w:jc w:val="both"/>
        <w:rPr>
          <w:sz w:val="28"/>
          <w:szCs w:val="28"/>
          <w:shd w:val="clear" w:color="auto" w:fill="FFFFFF"/>
        </w:rPr>
      </w:pPr>
      <w:r w:rsidRPr="008F1269">
        <w:rPr>
          <w:sz w:val="28"/>
          <w:szCs w:val="28"/>
          <w:shd w:val="clear" w:color="auto" w:fill="FFFFFF"/>
        </w:rPr>
        <w:t xml:space="preserve">Cuối thời Minh, Lý Thời Trân (1518 </w:t>
      </w:r>
      <w:r>
        <w:rPr>
          <w:sz w:val="28"/>
          <w:szCs w:val="28"/>
          <w:shd w:val="clear" w:color="auto" w:fill="FFFFFF"/>
        </w:rPr>
        <w:t>–</w:t>
      </w:r>
      <w:r w:rsidRPr="008F1269">
        <w:rPr>
          <w:sz w:val="28"/>
          <w:szCs w:val="28"/>
          <w:shd w:val="clear" w:color="auto" w:fill="FFFFFF"/>
        </w:rPr>
        <w:t xml:space="preserve"> 1593)</w:t>
      </w:r>
      <w:r w:rsidRPr="008F1269">
        <w:rPr>
          <w:sz w:val="28"/>
          <w:szCs w:val="28"/>
          <w:shd w:val="clear" w:color="auto" w:fill="FFFFFF"/>
          <w:lang w:eastAsia="zh-CN"/>
        </w:rPr>
        <w:t xml:space="preserve"> được biết đến</w:t>
      </w:r>
      <w:r w:rsidRPr="008F1269">
        <w:rPr>
          <w:sz w:val="28"/>
          <w:szCs w:val="28"/>
          <w:shd w:val="clear" w:color="auto" w:fill="FFFFFF"/>
        </w:rPr>
        <w:t xml:space="preserve"> một trong </w:t>
      </w:r>
      <w:r w:rsidRPr="008F1269">
        <w:rPr>
          <w:sz w:val="28"/>
          <w:szCs w:val="28"/>
          <w:shd w:val="clear" w:color="auto" w:fill="FFFFFF"/>
          <w:lang w:eastAsia="zh-CN"/>
        </w:rPr>
        <w:t xml:space="preserve">“tứ đại danh y” </w:t>
      </w:r>
      <w:r w:rsidRPr="008F1269">
        <w:rPr>
          <w:sz w:val="28"/>
          <w:szCs w:val="28"/>
          <w:shd w:val="clear" w:color="auto" w:fill="FFFFFF"/>
        </w:rPr>
        <w:t>nổi tiếng nhất trong lịch sử Trung Quốc</w:t>
      </w:r>
      <w:r w:rsidRPr="008F1269">
        <w:rPr>
          <w:sz w:val="28"/>
          <w:szCs w:val="28"/>
          <w:shd w:val="clear" w:color="auto" w:fill="FFFFFF"/>
          <w:lang w:eastAsia="zh-CN"/>
        </w:rPr>
        <w:t xml:space="preserve"> (cùng với Biển Thước, Hoa Đà, Trương Trọng Cảnh). Ông là tác giả của</w:t>
      </w:r>
      <w:r w:rsidRPr="008F1269">
        <w:rPr>
          <w:sz w:val="28"/>
          <w:szCs w:val="28"/>
          <w:shd w:val="clear" w:color="auto" w:fill="FFFFFF"/>
        </w:rPr>
        <w:t xml:space="preserve"> bộ sách “Bản thảo cương mục”. Bộ sách này có tổng cộng 52 quyển, ghi chép về 1</w:t>
      </w:r>
      <w:r w:rsidRPr="002778F9">
        <w:rPr>
          <w:sz w:val="28"/>
          <w:szCs w:val="28"/>
          <w:shd w:val="clear" w:color="auto" w:fill="FFFFFF"/>
        </w:rPr>
        <w:t>.</w:t>
      </w:r>
      <w:r w:rsidRPr="008F1269">
        <w:rPr>
          <w:sz w:val="28"/>
          <w:szCs w:val="28"/>
          <w:shd w:val="clear" w:color="auto" w:fill="FFFFFF"/>
        </w:rPr>
        <w:t xml:space="preserve">892 chủng loại cây, con, vật là các vị thuốc khác nhau. Bộ sách này đã liệt kê 11.096 đơn thuốc, trong đó có 8.000 phương thuốc do cá nhân Lý Thời Trân sưu tập mới hoặc tự sáng chế. Bộ sách được đánh giá là một cuốn bách khoa thư về y học, dược liệu, có tầm quan trọng bậc nhất trong việc phân loại thuốc trong ngành Đông y. </w:t>
      </w:r>
    </w:p>
    <w:p w:rsidR="005D084B" w:rsidRPr="008F1269" w:rsidRDefault="005D084B" w:rsidP="005D084B">
      <w:pPr>
        <w:pStyle w:val="NormalWeb"/>
        <w:shd w:val="clear" w:color="auto" w:fill="FFFFFF"/>
        <w:adjustRightInd w:val="0"/>
        <w:snapToGrid w:val="0"/>
        <w:spacing w:before="60" w:beforeAutospacing="0" w:after="0" w:afterAutospacing="0" w:line="312" w:lineRule="auto"/>
        <w:ind w:firstLine="567"/>
        <w:jc w:val="both"/>
        <w:rPr>
          <w:sz w:val="28"/>
          <w:szCs w:val="28"/>
          <w:shd w:val="clear" w:color="auto" w:fill="FFFFFF"/>
        </w:rPr>
      </w:pPr>
      <w:r w:rsidRPr="008F1269">
        <w:rPr>
          <w:sz w:val="28"/>
          <w:szCs w:val="28"/>
          <w:shd w:val="clear" w:color="auto" w:fill="FFFFFF"/>
        </w:rPr>
        <w:t>Cũng từ thời Minh, y học phương Tây được truyền vào Trung Quốc, một loạt chuyên gia y học đã chủ trương kết hợp hai loại hình này với nhau, mở đường cho sự kết hợp giữa Trung y với Tây y đương đại.</w:t>
      </w:r>
    </w:p>
    <w:p w:rsidR="005D084B" w:rsidRPr="008F1269" w:rsidRDefault="005D084B" w:rsidP="005D084B">
      <w:pPr>
        <w:pStyle w:val="NormalWeb"/>
        <w:shd w:val="clear" w:color="auto" w:fill="FFFFFF"/>
        <w:adjustRightInd w:val="0"/>
        <w:snapToGrid w:val="0"/>
        <w:spacing w:before="60" w:beforeAutospacing="0" w:after="0" w:afterAutospacing="0" w:line="312" w:lineRule="auto"/>
        <w:ind w:firstLine="567"/>
        <w:jc w:val="both"/>
        <w:rPr>
          <w:rFonts w:eastAsia="SimSun"/>
          <w:sz w:val="28"/>
          <w:szCs w:val="28"/>
          <w:shd w:val="clear" w:color="auto" w:fill="FFFFFF"/>
        </w:rPr>
      </w:pPr>
      <w:r w:rsidRPr="008F1269">
        <w:rPr>
          <w:sz w:val="28"/>
          <w:szCs w:val="28"/>
          <w:shd w:val="clear" w:color="auto" w:fill="FFFFFF"/>
        </w:rPr>
        <w:t xml:space="preserve">Thành tựu YHTQCĐ có ảnh hưởng không nhỏ ở khu vực và trên thế giới. Trong khu vực Đông Á, các quốc gia như </w:t>
      </w:r>
      <w:r w:rsidRPr="008F1269">
        <w:rPr>
          <w:rFonts w:eastAsia="SimSun"/>
          <w:sz w:val="28"/>
          <w:szCs w:val="28"/>
          <w:shd w:val="clear" w:color="auto" w:fill="FFFFFF"/>
        </w:rPr>
        <w:t xml:space="preserve">Nhật Bản, Hàn Quốc, Việt Nam đã có </w:t>
      </w:r>
      <w:r w:rsidRPr="008F1269">
        <w:rPr>
          <w:rFonts w:eastAsia="SimSun"/>
          <w:sz w:val="28"/>
          <w:szCs w:val="28"/>
          <w:shd w:val="clear" w:color="auto" w:fill="FFFFFF"/>
        </w:rPr>
        <w:lastRenderedPageBreak/>
        <w:t>sự tiếp nhận chọn lọc, “</w:t>
      </w:r>
      <w:r w:rsidRPr="002778F9">
        <w:rPr>
          <w:rFonts w:eastAsia="SimSun"/>
          <w:sz w:val="28"/>
          <w:szCs w:val="28"/>
          <w:shd w:val="clear" w:color="auto" w:fill="FFFFFF"/>
        </w:rPr>
        <w:t>hiện đại</w:t>
      </w:r>
      <w:r w:rsidRPr="008F1269">
        <w:rPr>
          <w:rFonts w:eastAsia="SimSun"/>
          <w:sz w:val="28"/>
          <w:szCs w:val="28"/>
          <w:shd w:val="clear" w:color="auto" w:fill="FFFFFF"/>
        </w:rPr>
        <w:t xml:space="preserve"> hóa” y thư Trung Quốc để hình thành nền y học dân tộc riêng của mỗi quốc gia. </w:t>
      </w:r>
    </w:p>
    <w:p w:rsidR="005D084B" w:rsidRPr="008F1269" w:rsidRDefault="005D084B" w:rsidP="005D084B">
      <w:pPr>
        <w:pStyle w:val="body-text"/>
        <w:adjustRightInd w:val="0"/>
        <w:snapToGrid w:val="0"/>
        <w:spacing w:before="60" w:line="312" w:lineRule="auto"/>
        <w:rPr>
          <w:lang w:val="vi-VN"/>
        </w:rPr>
      </w:pPr>
      <w:r w:rsidRPr="008F1269">
        <w:rPr>
          <w:lang w:val="vi-VN"/>
        </w:rPr>
        <w:t>PHAN NGỌC HUYỀN</w:t>
      </w:r>
    </w:p>
    <w:p w:rsidR="005D084B" w:rsidRPr="008F1269" w:rsidRDefault="005D084B" w:rsidP="005D084B">
      <w:pPr>
        <w:adjustRightInd w:val="0"/>
        <w:snapToGrid w:val="0"/>
        <w:spacing w:before="60" w:line="312" w:lineRule="auto"/>
        <w:rPr>
          <w:sz w:val="24"/>
          <w:lang w:val="vi-VN"/>
        </w:rPr>
      </w:pPr>
      <w:r w:rsidRPr="008F1269">
        <w:rPr>
          <w:b/>
          <w:sz w:val="24"/>
          <w:szCs w:val="24"/>
          <w:lang w:val="vi-VN"/>
        </w:rPr>
        <w:t>Tài liệu tham khảo</w:t>
      </w:r>
    </w:p>
    <w:p w:rsidR="005D084B" w:rsidRPr="008F1269" w:rsidRDefault="005D084B" w:rsidP="005D084B">
      <w:pPr>
        <w:widowControl w:val="0"/>
        <w:adjustRightInd w:val="0"/>
        <w:snapToGrid w:val="0"/>
        <w:spacing w:before="60" w:line="312" w:lineRule="auto"/>
        <w:jc w:val="both"/>
        <w:rPr>
          <w:rFonts w:eastAsia="Microsoft YaHei"/>
          <w:sz w:val="24"/>
          <w:szCs w:val="24"/>
          <w:shd w:val="clear" w:color="auto" w:fill="FFFFFF"/>
          <w:lang w:val="vi-VN"/>
        </w:rPr>
      </w:pPr>
      <w:r w:rsidRPr="008F1269">
        <w:rPr>
          <w:rFonts w:eastAsia="Microsoft YaHei"/>
          <w:sz w:val="24"/>
          <w:szCs w:val="24"/>
          <w:shd w:val="clear" w:color="auto" w:fill="FFFFFF"/>
          <w:lang w:val="vi-VN" w:eastAsia="zh-CN"/>
        </w:rPr>
        <w:t xml:space="preserve">1. Mayanagi Makoto, </w:t>
      </w:r>
      <w:r w:rsidRPr="008F1269">
        <w:rPr>
          <w:rFonts w:eastAsia="Microsoft YaHei"/>
          <w:i/>
          <w:iCs/>
          <w:sz w:val="24"/>
          <w:szCs w:val="24"/>
          <w:shd w:val="clear" w:color="auto" w:fill="FFFFFF"/>
          <w:lang w:val="vi-VN" w:eastAsia="zh-CN"/>
        </w:rPr>
        <w:t xml:space="preserve">Nghiên cứu so sánh định lượng thư tịch y học cổ truyền các nước khu vực đồng văn, </w:t>
      </w:r>
      <w:r w:rsidRPr="008F1269">
        <w:rPr>
          <w:rFonts w:eastAsia="Microsoft YaHei"/>
          <w:sz w:val="24"/>
          <w:szCs w:val="24"/>
          <w:shd w:val="clear" w:color="auto" w:fill="FFFFFF"/>
          <w:lang w:val="vi-VN" w:eastAsia="zh-CN"/>
        </w:rPr>
        <w:t>Tạp chí Hán Nôm, số 6 (97), 2009, tr.10</w:t>
      </w:r>
      <w:r>
        <w:rPr>
          <w:rFonts w:eastAsia="Microsoft YaHei"/>
          <w:sz w:val="24"/>
          <w:szCs w:val="24"/>
          <w:shd w:val="clear" w:color="auto" w:fill="FFFFFF"/>
          <w:lang w:val="vi-VN" w:eastAsia="zh-CN"/>
        </w:rPr>
        <w:t>–</w:t>
      </w:r>
      <w:r w:rsidRPr="008F1269">
        <w:rPr>
          <w:rFonts w:eastAsia="Microsoft YaHei"/>
          <w:sz w:val="24"/>
          <w:szCs w:val="24"/>
          <w:shd w:val="clear" w:color="auto" w:fill="FFFFFF"/>
          <w:lang w:val="vi-VN" w:eastAsia="zh-CN"/>
        </w:rPr>
        <w:t>29.</w:t>
      </w:r>
    </w:p>
    <w:p w:rsidR="005D084B" w:rsidRPr="008F1269" w:rsidRDefault="005D084B" w:rsidP="005D084B">
      <w:pPr>
        <w:widowControl w:val="0"/>
        <w:adjustRightInd w:val="0"/>
        <w:snapToGrid w:val="0"/>
        <w:spacing w:before="60" w:line="312" w:lineRule="auto"/>
        <w:jc w:val="both"/>
        <w:rPr>
          <w:sz w:val="24"/>
          <w:szCs w:val="24"/>
        </w:rPr>
      </w:pPr>
      <w:r w:rsidRPr="008F1269">
        <w:rPr>
          <w:rFonts w:eastAsia="Microsoft YaHei"/>
          <w:sz w:val="24"/>
          <w:szCs w:val="24"/>
          <w:shd w:val="clear" w:color="auto" w:fill="FFFFFF"/>
          <w:lang w:eastAsia="zh-CN"/>
        </w:rPr>
        <w:t>2. Chun</w:t>
      </w:r>
      <w:r>
        <w:rPr>
          <w:rFonts w:eastAsia="Microsoft YaHei"/>
          <w:sz w:val="24"/>
          <w:szCs w:val="24"/>
          <w:shd w:val="clear" w:color="auto" w:fill="FFFFFF"/>
          <w:lang w:eastAsia="zh-CN"/>
        </w:rPr>
        <w:t>–</w:t>
      </w:r>
      <w:r w:rsidRPr="008F1269">
        <w:rPr>
          <w:rFonts w:eastAsia="Microsoft YaHei"/>
          <w:sz w:val="24"/>
          <w:szCs w:val="24"/>
          <w:shd w:val="clear" w:color="auto" w:fill="FFFFFF"/>
          <w:lang w:eastAsia="zh-CN"/>
        </w:rPr>
        <w:t xml:space="preserve">Su Yuan, Eric J. Bieber, Brent A. Bauer, </w:t>
      </w:r>
      <w:r w:rsidRPr="008F1269">
        <w:rPr>
          <w:rFonts w:eastAsia="Microsoft YaHei"/>
          <w:i/>
          <w:iCs/>
          <w:sz w:val="24"/>
          <w:szCs w:val="24"/>
          <w:shd w:val="clear" w:color="auto" w:fill="FFFFFF"/>
          <w:lang w:eastAsia="zh-CN"/>
        </w:rPr>
        <w:t xml:space="preserve">Traditional Chinese medicine, </w:t>
      </w:r>
      <w:r w:rsidRPr="008F1269">
        <w:rPr>
          <w:rFonts w:eastAsia="Microsoft YaHei"/>
          <w:sz w:val="24"/>
          <w:szCs w:val="24"/>
          <w:shd w:val="clear" w:color="auto" w:fill="FFFFFF"/>
          <w:lang w:eastAsia="zh-CN"/>
        </w:rPr>
        <w:t>Informa Healthcare, 2011 (Chun</w:t>
      </w:r>
      <w:r>
        <w:rPr>
          <w:rFonts w:eastAsia="Microsoft YaHei"/>
          <w:sz w:val="24"/>
          <w:szCs w:val="24"/>
          <w:shd w:val="clear" w:color="auto" w:fill="FFFFFF"/>
          <w:lang w:eastAsia="zh-CN"/>
        </w:rPr>
        <w:t>–</w:t>
      </w:r>
      <w:r w:rsidRPr="008F1269">
        <w:rPr>
          <w:rFonts w:eastAsia="Microsoft YaHei"/>
          <w:sz w:val="24"/>
          <w:szCs w:val="24"/>
          <w:shd w:val="clear" w:color="auto" w:fill="FFFFFF"/>
          <w:lang w:eastAsia="zh-CN"/>
        </w:rPr>
        <w:t>Su Yuan, Eric J. Bieber, Brent A. Bauer, Y học truyền thống Trung Quốc, Nxb. Informa Healthcare, 2011).</w:t>
      </w:r>
    </w:p>
    <w:p w:rsidR="005D084B" w:rsidRPr="008F1269" w:rsidRDefault="005D084B" w:rsidP="005D084B">
      <w:pPr>
        <w:widowControl w:val="0"/>
        <w:adjustRightInd w:val="0"/>
        <w:snapToGrid w:val="0"/>
        <w:spacing w:before="60" w:line="312" w:lineRule="auto"/>
        <w:jc w:val="both"/>
        <w:rPr>
          <w:sz w:val="24"/>
          <w:szCs w:val="24"/>
        </w:rPr>
      </w:pPr>
      <w:r w:rsidRPr="008F1269">
        <w:rPr>
          <w:sz w:val="24"/>
          <w:szCs w:val="24"/>
          <w:lang w:eastAsia="zh-CN"/>
        </w:rPr>
        <w:t xml:space="preserve">3. </w:t>
      </w:r>
      <w:r w:rsidRPr="008F1269">
        <w:rPr>
          <w:sz w:val="24"/>
          <w:szCs w:val="24"/>
          <w:lang w:eastAsia="zh-CN"/>
        </w:rPr>
        <w:t>吴今义</w:t>
      </w:r>
      <w:r w:rsidRPr="008F1269">
        <w:rPr>
          <w:rFonts w:hint="eastAsia"/>
          <w:sz w:val="24"/>
          <w:szCs w:val="24"/>
          <w:lang w:eastAsia="zh-CN"/>
        </w:rPr>
        <w:t>，</w:t>
      </w:r>
      <w:r w:rsidRPr="008F1269">
        <w:rPr>
          <w:sz w:val="24"/>
          <w:szCs w:val="24"/>
          <w:lang w:eastAsia="zh-CN"/>
        </w:rPr>
        <w:t>中国古代时间医学成就和现代研究进展</w:t>
      </w:r>
      <w:r w:rsidRPr="008F1269">
        <w:rPr>
          <w:rFonts w:hint="eastAsia"/>
          <w:sz w:val="24"/>
          <w:szCs w:val="24"/>
          <w:lang w:eastAsia="zh-CN"/>
        </w:rPr>
        <w:t>，</w:t>
      </w:r>
      <w:r w:rsidRPr="008F1269">
        <w:rPr>
          <w:sz w:val="24"/>
          <w:szCs w:val="24"/>
          <w:lang w:eastAsia="zh-CN"/>
        </w:rPr>
        <w:t>大自然探索》</w:t>
      </w:r>
      <w:r w:rsidRPr="008F1269">
        <w:rPr>
          <w:sz w:val="24"/>
          <w:szCs w:val="24"/>
          <w:lang w:eastAsia="zh-CN"/>
        </w:rPr>
        <w:t>1984</w:t>
      </w:r>
      <w:r w:rsidRPr="008F1269">
        <w:rPr>
          <w:sz w:val="24"/>
          <w:szCs w:val="24"/>
          <w:lang w:eastAsia="zh-CN"/>
        </w:rPr>
        <w:t>第</w:t>
      </w:r>
      <w:r w:rsidRPr="008F1269">
        <w:rPr>
          <w:sz w:val="24"/>
          <w:szCs w:val="24"/>
          <w:lang w:eastAsia="zh-CN"/>
        </w:rPr>
        <w:t>4</w:t>
      </w:r>
      <w:r w:rsidRPr="008F1269">
        <w:rPr>
          <w:sz w:val="24"/>
          <w:szCs w:val="24"/>
          <w:lang w:eastAsia="zh-CN"/>
        </w:rPr>
        <w:t>期</w:t>
      </w:r>
      <w:r w:rsidRPr="008F1269">
        <w:rPr>
          <w:sz w:val="24"/>
          <w:szCs w:val="24"/>
          <w:lang w:eastAsia="zh-CN"/>
        </w:rPr>
        <w:t xml:space="preserve"> (Ngô Kim Nghĩa, “Thành tựu y học của Trung Quốc thời kỳ cổ đại và những tiến triển nghiên cứu thời kỳ hiện đại”, </w:t>
      </w:r>
      <w:r w:rsidRPr="008F1269">
        <w:rPr>
          <w:i/>
          <w:iCs/>
          <w:sz w:val="24"/>
          <w:szCs w:val="24"/>
          <w:lang w:eastAsia="zh-CN"/>
        </w:rPr>
        <w:t>Tạp chí khám phá tự nhiên</w:t>
      </w:r>
      <w:r w:rsidRPr="008F1269">
        <w:rPr>
          <w:sz w:val="24"/>
          <w:szCs w:val="24"/>
          <w:lang w:eastAsia="zh-CN"/>
        </w:rPr>
        <w:t>, số 4 năm 1984).</w:t>
      </w:r>
    </w:p>
    <w:p w:rsidR="005D084B" w:rsidRPr="008F1269" w:rsidRDefault="005D084B" w:rsidP="005D084B">
      <w:pPr>
        <w:widowControl w:val="0"/>
        <w:adjustRightInd w:val="0"/>
        <w:snapToGrid w:val="0"/>
        <w:spacing w:before="60" w:line="312" w:lineRule="auto"/>
        <w:rPr>
          <w:rFonts w:eastAsia="Microsoft YaHei"/>
          <w:sz w:val="24"/>
          <w:szCs w:val="24"/>
          <w:shd w:val="clear" w:color="auto" w:fill="FFFFFF"/>
        </w:rPr>
      </w:pPr>
      <w:r w:rsidRPr="008F1269">
        <w:rPr>
          <w:sz w:val="24"/>
          <w:szCs w:val="24"/>
          <w:lang w:eastAsia="zh-CN"/>
        </w:rPr>
        <w:t xml:space="preserve">4. </w:t>
      </w:r>
      <w:r w:rsidRPr="008F1269">
        <w:rPr>
          <w:sz w:val="24"/>
          <w:szCs w:val="24"/>
          <w:lang w:eastAsia="zh-CN"/>
        </w:rPr>
        <w:t>徐寒主编《中国历史百科全书，第</w:t>
      </w:r>
      <w:r w:rsidRPr="008F1269">
        <w:rPr>
          <w:sz w:val="24"/>
          <w:szCs w:val="24"/>
          <w:lang w:eastAsia="zh-CN"/>
        </w:rPr>
        <w:t>4</w:t>
      </w:r>
      <w:r w:rsidRPr="008F1269">
        <w:rPr>
          <w:sz w:val="24"/>
          <w:szCs w:val="24"/>
          <w:lang w:eastAsia="zh-CN"/>
        </w:rPr>
        <w:t>卷</w:t>
      </w:r>
      <w:r w:rsidRPr="008F1269">
        <w:rPr>
          <w:sz w:val="24"/>
          <w:szCs w:val="24"/>
          <w:lang w:eastAsia="zh-CN"/>
        </w:rPr>
        <w:t xml:space="preserve"> </w:t>
      </w:r>
      <w:r w:rsidRPr="008F1269">
        <w:rPr>
          <w:sz w:val="24"/>
          <w:szCs w:val="24"/>
          <w:lang w:eastAsia="zh-CN"/>
        </w:rPr>
        <w:t>《农业与科技卷，吉林大学出版社，吉林，</w:t>
      </w:r>
      <w:r w:rsidRPr="008F1269">
        <w:rPr>
          <w:sz w:val="24"/>
          <w:szCs w:val="24"/>
          <w:lang w:eastAsia="zh-CN"/>
        </w:rPr>
        <w:t>2004</w:t>
      </w:r>
      <w:r w:rsidRPr="008F1269">
        <w:rPr>
          <w:sz w:val="24"/>
          <w:szCs w:val="24"/>
          <w:lang w:eastAsia="zh-CN"/>
        </w:rPr>
        <w:t>年版</w:t>
      </w:r>
      <w:r w:rsidRPr="008F1269">
        <w:rPr>
          <w:sz w:val="24"/>
          <w:szCs w:val="24"/>
          <w:lang w:eastAsia="zh-CN"/>
        </w:rPr>
        <w:t xml:space="preserve"> (Từ Hàn </w:t>
      </w:r>
      <w:r>
        <w:rPr>
          <w:sz w:val="24"/>
          <w:szCs w:val="24"/>
          <w:lang w:eastAsia="zh-CN"/>
        </w:rPr>
        <w:t>(chủ biên)</w:t>
      </w:r>
      <w:r w:rsidRPr="008F1269">
        <w:rPr>
          <w:sz w:val="24"/>
          <w:szCs w:val="24"/>
          <w:lang w:eastAsia="zh-CN"/>
        </w:rPr>
        <w:t xml:space="preserve">, </w:t>
      </w:r>
      <w:r w:rsidRPr="008F1269">
        <w:rPr>
          <w:i/>
          <w:iCs/>
          <w:sz w:val="24"/>
          <w:szCs w:val="24"/>
          <w:lang w:eastAsia="zh-CN"/>
        </w:rPr>
        <w:t>Bách khoa toàn thư Lịch sử Trung Quốc</w:t>
      </w:r>
      <w:r w:rsidRPr="008F1269">
        <w:rPr>
          <w:sz w:val="24"/>
          <w:szCs w:val="24"/>
          <w:lang w:eastAsia="zh-CN"/>
        </w:rPr>
        <w:t>, quyển thứ 4 “Nông nghiệp và Khoa học kỹ thuật”, Nxb. Đại học Cát Lâm, Cát Lâm, 2004).</w:t>
      </w:r>
    </w:p>
    <w:p w:rsidR="005D084B" w:rsidRPr="008F1269" w:rsidRDefault="005D084B" w:rsidP="005D084B">
      <w:pPr>
        <w:adjustRightInd w:val="0"/>
        <w:snapToGrid w:val="0"/>
        <w:spacing w:before="60" w:line="312" w:lineRule="auto"/>
        <w:jc w:val="both"/>
        <w:rPr>
          <w:sz w:val="24"/>
          <w:szCs w:val="24"/>
          <w:lang w:eastAsia="zh-CN"/>
        </w:rPr>
      </w:pPr>
      <w:r w:rsidRPr="008F1269">
        <w:rPr>
          <w:sz w:val="24"/>
          <w:szCs w:val="24"/>
          <w:lang w:eastAsia="zh-CN"/>
        </w:rPr>
        <w:t xml:space="preserve">5. </w:t>
      </w:r>
      <w:r w:rsidRPr="008F1269">
        <w:rPr>
          <w:rFonts w:ascii="Microsoft JhengHei" w:eastAsia="Microsoft JhengHei" w:hAnsi="Microsoft JhengHei" w:cs="Microsoft JhengHei" w:hint="eastAsia"/>
          <w:sz w:val="24"/>
          <w:szCs w:val="24"/>
          <w:lang w:eastAsia="zh-CN"/>
        </w:rPr>
        <w:t>朱建平，黄健，《医学史话》，社会科学文献出版社，北京，</w:t>
      </w:r>
      <w:r w:rsidRPr="008F1269">
        <w:rPr>
          <w:rFonts w:hint="eastAsia"/>
          <w:sz w:val="24"/>
          <w:szCs w:val="24"/>
          <w:lang w:eastAsia="zh-CN"/>
        </w:rPr>
        <w:t>2012</w:t>
      </w:r>
      <w:r w:rsidRPr="008F1269">
        <w:rPr>
          <w:rFonts w:ascii="Microsoft JhengHei" w:eastAsia="Microsoft JhengHei" w:hAnsi="Microsoft JhengHei" w:cs="Microsoft JhengHei" w:hint="eastAsia"/>
          <w:sz w:val="24"/>
          <w:szCs w:val="24"/>
          <w:lang w:eastAsia="zh-CN"/>
        </w:rPr>
        <w:t>年版</w:t>
      </w:r>
      <w:r w:rsidRPr="008F1269">
        <w:rPr>
          <w:sz w:val="24"/>
          <w:szCs w:val="24"/>
          <w:lang w:eastAsia="zh-CN"/>
        </w:rPr>
        <w:t xml:space="preserve"> (Chu Kiến Bình, Hoàng Kiện, </w:t>
      </w:r>
      <w:r w:rsidRPr="008F1269">
        <w:rPr>
          <w:i/>
          <w:iCs/>
          <w:sz w:val="24"/>
          <w:szCs w:val="24"/>
          <w:lang w:eastAsia="zh-CN"/>
        </w:rPr>
        <w:t>Y học sử thoại</w:t>
      </w:r>
      <w:r w:rsidRPr="008F1269">
        <w:rPr>
          <w:sz w:val="24"/>
          <w:szCs w:val="24"/>
          <w:lang w:eastAsia="zh-CN"/>
        </w:rPr>
        <w:t>, Nxb. Văn hiến Khoa học Xã hội, Bắc Kinh, 2012).</w:t>
      </w:r>
    </w:p>
    <w:p w:rsidR="005D084B" w:rsidRPr="008F1269" w:rsidRDefault="005D084B" w:rsidP="005D084B">
      <w:pPr>
        <w:adjustRightInd w:val="0"/>
        <w:snapToGrid w:val="0"/>
        <w:spacing w:before="60" w:line="312" w:lineRule="auto"/>
        <w:ind w:firstLine="567"/>
        <w:jc w:val="both"/>
        <w:rPr>
          <w:sz w:val="24"/>
          <w:szCs w:val="24"/>
          <w:lang w:eastAsia="zh-CN"/>
        </w:rPr>
      </w:pPr>
    </w:p>
    <w:p w:rsidR="00C84020" w:rsidRDefault="00C84020"/>
    <w:sectPr w:rsidR="00C84020" w:rsidSect="00E4255A">
      <w:pgSz w:w="12240" w:h="15840"/>
      <w:pgMar w:top="1134" w:right="1418" w:bottom="1134" w:left="1701"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icrosoft JhengHei">
    <w:panose1 w:val="020B0604030504040204"/>
    <w:charset w:val="88"/>
    <w:family w:val="swiss"/>
    <w:pitch w:val="variable"/>
    <w:sig w:usb0="00000087" w:usb1="288F4000" w:usb2="00000016" w:usb3="00000000" w:csb0="00100009"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defaultTabStop w:val="720"/>
  <w:drawingGridHorizontalSpacing w:val="140"/>
  <w:drawingGridVerticalSpacing w:val="381"/>
  <w:displayHorizontalDrawingGridEvery w:val="2"/>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084B"/>
    <w:rsid w:val="005D084B"/>
    <w:rsid w:val="00C84020"/>
    <w:rsid w:val="00E4255A"/>
  </w:rsids>
  <m:mathPr>
    <m:mathFont m:val="Cambria Math"/>
    <m:brkBin m:val="before"/>
    <m:brkBinSub m:val="--"/>
    <m:smallFrac m:val="0"/>
    <m:dispDef/>
    <m:lMargin m:val="0"/>
    <m:rMargin m:val="0"/>
    <m:defJc m:val="centerGroup"/>
    <m:wrapIndent m:val="1440"/>
    <m:intLim m:val="subSup"/>
    <m:naryLim m:val="undOvr"/>
  </m:mathPr>
  <w:themeFontLang w:val="en-V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0C7BEA6-4DDC-9949-9CCD-13919B7821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en-VN"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084B"/>
    <w:pPr>
      <w:spacing w:line="259" w:lineRule="auto"/>
    </w:pPr>
    <w:rPr>
      <w:rFonts w:ascii="Times New Roman" w:eastAsia="Calibri" w:hAnsi="Times New Roman" w:cs="Times New Roman"/>
      <w:kern w:val="0"/>
      <w:sz w:val="28"/>
      <w:szCs w:val="22"/>
      <w:lang w:val="en-US" w:eastAsia="en-US"/>
      <w14:ligatures w14:val="none"/>
    </w:rPr>
  </w:style>
  <w:style w:type="paragraph" w:styleId="Heading1">
    <w:name w:val="heading 1"/>
    <w:basedOn w:val="Normal"/>
    <w:next w:val="Normal"/>
    <w:link w:val="Heading1Char"/>
    <w:qFormat/>
    <w:rsid w:val="005D084B"/>
    <w:pPr>
      <w:keepNext/>
      <w:keepLines/>
      <w:spacing w:before="200" w:after="200" w:line="240" w:lineRule="auto"/>
      <w:ind w:firstLine="567"/>
      <w:outlineLvl w:val="0"/>
    </w:pPr>
    <w:rPr>
      <w:rFonts w:eastAsia="SimSun"/>
      <w:b/>
      <w:kern w:val="44"/>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qFormat/>
    <w:rsid w:val="005D084B"/>
    <w:rPr>
      <w:rFonts w:ascii="Times New Roman" w:eastAsia="SimSun" w:hAnsi="Times New Roman" w:cs="Times New Roman"/>
      <w:b/>
      <w:kern w:val="44"/>
      <w:szCs w:val="22"/>
      <w:lang w:val="en-US" w:eastAsia="en-US"/>
      <w14:ligatures w14:val="none"/>
    </w:rPr>
  </w:style>
  <w:style w:type="paragraph" w:styleId="NormalWeb">
    <w:name w:val="Normal (Web)"/>
    <w:basedOn w:val="Normal"/>
    <w:uiPriority w:val="99"/>
    <w:unhideWhenUsed/>
    <w:qFormat/>
    <w:rsid w:val="005D084B"/>
    <w:pPr>
      <w:spacing w:before="100" w:beforeAutospacing="1" w:after="100" w:afterAutospacing="1" w:line="240" w:lineRule="auto"/>
    </w:pPr>
    <w:rPr>
      <w:rFonts w:eastAsia="Times New Roman"/>
      <w:sz w:val="24"/>
      <w:szCs w:val="24"/>
      <w:lang w:val="vi-VN" w:eastAsia="vi-VN"/>
    </w:rPr>
  </w:style>
  <w:style w:type="paragraph" w:customStyle="1" w:styleId="body-text">
    <w:name w:val="body-text"/>
    <w:basedOn w:val="Normal"/>
    <w:qFormat/>
    <w:rsid w:val="005D084B"/>
    <w:pPr>
      <w:spacing w:line="240" w:lineRule="auto"/>
      <w:jc w:val="right"/>
    </w:pPr>
    <w:rPr>
      <w:rFonts w:eastAsia="Times New Roman"/>
      <w:b/>
      <w:sz w:val="20"/>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806</Words>
  <Characters>4598</Characters>
  <Application>Microsoft Office Word</Application>
  <DocSecurity>0</DocSecurity>
  <Lines>38</Lines>
  <Paragraphs>10</Paragraphs>
  <ScaleCrop>false</ScaleCrop>
  <Company/>
  <LinksUpToDate>false</LinksUpToDate>
  <CharactersWithSpaces>5394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cp:revision>
  <dcterms:created xsi:type="dcterms:W3CDTF">2025-12-04T20:18:00Z</dcterms:created>
  <dcterms:modified xsi:type="dcterms:W3CDTF">2025-12-04T20:18:00Z</dcterms:modified>
</cp:coreProperties>
</file>